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default" w:ascii="宋体" w:hAnsi="宋体" w:eastAsia="宋体" w:cs="宋体"/>
          <w:b/>
          <w:bCs w:val="0"/>
          <w:spacing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b w:val="0"/>
          <w:bCs/>
          <w:spacing w:val="0"/>
          <w:sz w:val="44"/>
          <w:szCs w:val="44"/>
        </w:rPr>
      </w:pPr>
      <w:r>
        <w:rPr>
          <w:rFonts w:hint="default" w:ascii="Times New Roman" w:hAnsi="Times New Roman" w:eastAsia="方正小标宋简体" w:cs="Times New Roman"/>
          <w:b w:val="0"/>
          <w:bCs/>
          <w:spacing w:val="0"/>
          <w:sz w:val="44"/>
          <w:szCs w:val="44"/>
        </w:rPr>
        <w:t>中共邯郸市永年区纪律检查委员会</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b w:val="0"/>
          <w:bCs/>
          <w:spacing w:val="0"/>
          <w:sz w:val="44"/>
          <w:szCs w:val="44"/>
        </w:rPr>
      </w:pPr>
      <w:r>
        <w:rPr>
          <w:rFonts w:hint="default" w:ascii="Times New Roman" w:hAnsi="Times New Roman" w:eastAsia="方正小标宋简体" w:cs="Times New Roman"/>
          <w:b w:val="0"/>
          <w:bCs/>
          <w:spacing w:val="0"/>
          <w:sz w:val="44"/>
          <w:szCs w:val="44"/>
        </w:rPr>
        <w:t>关于向中共邯郸市永年区第二次代表大会的</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b w:val="0"/>
          <w:bCs/>
          <w:spacing w:val="0"/>
          <w:sz w:val="44"/>
          <w:szCs w:val="44"/>
        </w:rPr>
      </w:pPr>
      <w:r>
        <w:rPr>
          <w:rFonts w:hint="default" w:ascii="Times New Roman" w:hAnsi="Times New Roman" w:eastAsia="方正小标宋简体" w:cs="Times New Roman"/>
          <w:b w:val="0"/>
          <w:bCs/>
          <w:spacing w:val="0"/>
          <w:sz w:val="44"/>
          <w:szCs w:val="44"/>
        </w:rPr>
        <w:t>工 作 报 告</w:t>
      </w:r>
    </w:p>
    <w:p>
      <w:pPr>
        <w:keepNext w:val="0"/>
        <w:keepLines w:val="0"/>
        <w:pageBreakBefore w:val="0"/>
        <w:widowControl w:val="0"/>
        <w:kinsoku/>
        <w:wordWrap/>
        <w:overflowPunct/>
        <w:topLinePunct w:val="0"/>
        <w:autoSpaceDE/>
        <w:autoSpaceDN/>
        <w:bidi w:val="0"/>
        <w:adjustRightInd/>
        <w:snapToGrid/>
        <w:spacing w:before="313" w:beforeLines="100" w:line="580" w:lineRule="exact"/>
        <w:jc w:val="center"/>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w:t>
      </w:r>
      <w:r>
        <w:rPr>
          <w:rFonts w:hint="default" w:ascii="Times New Roman" w:hAnsi="Times New Roman" w:eastAsia="楷体_GB2312" w:cs="Times New Roman"/>
          <w:sz w:val="32"/>
          <w:szCs w:val="32"/>
          <w:lang w:val="en-US" w:eastAsia="zh-CN"/>
        </w:rPr>
        <w:t>2021年7月18日</w:t>
      </w:r>
      <w:r>
        <w:rPr>
          <w:rFonts w:hint="default" w:ascii="Times New Roman" w:hAnsi="Times New Roman" w:eastAsia="楷体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仿宋" w:cs="Times New Roman"/>
          <w:sz w:val="32"/>
          <w:szCs w:val="32"/>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各位代表、同志们：</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现将中共邯郸市永年区第一届纪律检查委员会五年来的工作情况和今后五年工作建议，向大会报告如下，请予审议。</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一、五年来全区党风廉政建设和反腐败工作情况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区第一次党代会以来，在市委的坚强领导下，区委深入学习贯彻习近平新时代中国特色社会主义思想，认真履行管党治党主体责任，坚定不移深化党风廉政建设和反腐败斗争，着力构建一体推进不敢腐、不能腐、不想腐的体制机制，全区各级党组织一级抓一级、层层抓落实的工作局面进一步巩固发展。在市纪委和区委的坚强领导下，区纪委带领全区各级纪律检查组织坚持实事求是、稳中求进，依规依纪依法履行职责，以钉钉子精神正风肃纪，以零容忍态度反腐惩恶，奋力开创了党风廉政建设和反腐败工作新局面，赢得了党心民心。</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sz w:val="32"/>
          <w:szCs w:val="32"/>
        </w:rPr>
        <w:t>（一）坚持政治引领，坚决做到</w:t>
      </w:r>
      <w:r>
        <w:rPr>
          <w:rFonts w:hint="default" w:ascii="Times New Roman" w:hAnsi="Times New Roman" w:eastAsia="楷体_GB2312" w:cs="Times New Roman"/>
          <w:b/>
          <w:sz w:val="32"/>
          <w:szCs w:val="32"/>
          <w:lang w:eastAsia="zh-CN"/>
        </w:rPr>
        <w:t>“</w:t>
      </w:r>
      <w:r>
        <w:rPr>
          <w:rFonts w:hint="default" w:ascii="Times New Roman" w:hAnsi="Times New Roman" w:eastAsia="楷体_GB2312" w:cs="Times New Roman"/>
          <w:b/>
          <w:sz w:val="32"/>
          <w:szCs w:val="32"/>
        </w:rPr>
        <w:t>两个维护</w:t>
      </w:r>
      <w:r>
        <w:rPr>
          <w:rFonts w:hint="default" w:ascii="Times New Roman" w:hAnsi="Times New Roman" w:eastAsia="楷体_GB2312" w:cs="Times New Roman"/>
          <w:b/>
          <w:sz w:val="32"/>
          <w:szCs w:val="32"/>
          <w:lang w:eastAsia="zh-CN"/>
        </w:rPr>
        <w:t>”</w:t>
      </w:r>
      <w:r>
        <w:rPr>
          <w:rFonts w:hint="default" w:ascii="Times New Roman" w:hAnsi="Times New Roman" w:eastAsia="楷体_GB2312" w:cs="Times New Roman"/>
          <w:b/>
          <w:sz w:val="32"/>
          <w:szCs w:val="32"/>
        </w:rPr>
        <w:t>。</w:t>
      </w:r>
      <w:r>
        <w:rPr>
          <w:rFonts w:hint="default" w:ascii="Times New Roman" w:hAnsi="Times New Roman" w:eastAsia="仿宋_GB2312" w:cs="Times New Roman"/>
          <w:sz w:val="32"/>
          <w:szCs w:val="32"/>
        </w:rPr>
        <w:t>坚守政治机关定位，坚持思想政治引领，深入学习贯彻习近平新时代中国特色社会主义思想和党的十九大精神，不断提高政治判断力、政治领悟力、政治执行力，切实增强</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四个意识</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，坚定</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四个自信</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，做到</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两个维护</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。突出政治监督，聚焦疫情防控、</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六稳</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六保</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等重点任务，强力推进政治监督具体化常态化，疫情防控期间对主城区293个住宅小区开展4轮全覆盖式监督检查，发现问题521个；对20家复工复产企业进行监督检查，发现问题28个，及时督导责任单位整改落实。对区应急管理局违背中央疫情期间为企业减负的政策要求，及时对相关责任人作出处理。围绕环保、扶贫、信访、</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两大盛会</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等重点工作监督检查，坚决查处有令不行、有禁不止的行为，先后对300余名不担当不作为慢作为的党员、公职人员进行处理。持续整治形式主义、官僚主义，对8个乡镇、2个区直单位、7名科级干部存在的形式主义、官僚主义问题公开通报曝光。加强换届纪律执行情况监督检查，坚持严警示、严查验、严处置、严问责，营造了风清气正的换届环境。</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sz w:val="32"/>
          <w:szCs w:val="32"/>
        </w:rPr>
        <w:t>（二）突出政治定位，巡察</w:t>
      </w:r>
      <w:r>
        <w:rPr>
          <w:rFonts w:hint="default" w:ascii="Times New Roman" w:hAnsi="Times New Roman" w:eastAsia="楷体_GB2312" w:cs="Times New Roman"/>
          <w:b/>
          <w:sz w:val="32"/>
          <w:szCs w:val="32"/>
          <w:lang w:eastAsia="zh-CN"/>
        </w:rPr>
        <w:t>“</w:t>
      </w:r>
      <w:r>
        <w:rPr>
          <w:rFonts w:hint="default" w:ascii="Times New Roman" w:hAnsi="Times New Roman" w:eastAsia="楷体_GB2312" w:cs="Times New Roman"/>
          <w:b/>
          <w:sz w:val="32"/>
          <w:szCs w:val="32"/>
        </w:rPr>
        <w:t>利剑</w:t>
      </w:r>
      <w:r>
        <w:rPr>
          <w:rFonts w:hint="default" w:ascii="Times New Roman" w:hAnsi="Times New Roman" w:eastAsia="楷体_GB2312" w:cs="Times New Roman"/>
          <w:b/>
          <w:sz w:val="32"/>
          <w:szCs w:val="32"/>
          <w:lang w:eastAsia="zh-CN"/>
        </w:rPr>
        <w:t>”</w:t>
      </w:r>
      <w:r>
        <w:rPr>
          <w:rFonts w:hint="default" w:ascii="Times New Roman" w:hAnsi="Times New Roman" w:eastAsia="楷体_GB2312" w:cs="Times New Roman"/>
          <w:b/>
          <w:sz w:val="32"/>
          <w:szCs w:val="32"/>
        </w:rPr>
        <w:t>作用日益彰显。</w:t>
      </w:r>
      <w:r>
        <w:rPr>
          <w:rFonts w:hint="default" w:ascii="Times New Roman" w:hAnsi="Times New Roman" w:eastAsia="仿宋_GB2312" w:cs="Times New Roman"/>
          <w:sz w:val="32"/>
          <w:szCs w:val="32"/>
        </w:rPr>
        <w:t>围绕</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三个聚焦</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深化政治巡察，先后通过公开遴选、择优调入方式，选调14名公务员，组建高素质的巡察队伍。先后开展13轮巡察，完成了对17个乡镇、70个区直部门和企事业单位以及363个村（社区）的一届区委巡察全覆盖，并按照10%的比例，对重点领域、重点部门进行巡察</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回头看</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共发现3822个问题，已完成整改3612个，整改率达到94.5%；发现问题线索896件，涉及1393人（含科级以上299人），党纪政务处分138人，组织处理526人，移送检察机关依法审查起诉3人，形成强大震慑；挽回经济损失800余万元，推动巡察全面提质提效。深入推动巡视巡察上下联动，制定了《关于加强巡视巡察上下联动的具体措施》，在省委巡视我区期间，同步开展区委第八轮区直单位和第九轮村（社区）常规巡察；根据省委第九轮巡视要求，全面配合开展专项延伸巡察，形成上借下力，下借上势的监督合力。创新完善巡察工作流程，构建45项制度的巡察制度体系，涵盖主体框架类、实务操作类、协调协作类、自身建设类四大类；探索</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清单式工作法</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，制定了《区委巡察办运转机制清单》，以制度化、规范化推动巡察工作高质量发展。</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sz w:val="32"/>
          <w:szCs w:val="32"/>
        </w:rPr>
        <w:t>（三）重拳整治微腐，切实维护群众利益。</w:t>
      </w:r>
      <w:r>
        <w:rPr>
          <w:rFonts w:hint="default" w:ascii="Times New Roman" w:hAnsi="Times New Roman" w:eastAsia="仿宋_GB2312" w:cs="Times New Roman"/>
          <w:sz w:val="32"/>
          <w:szCs w:val="32"/>
        </w:rPr>
        <w:t>开展扶贫领域腐败和作风问题专项整治，对</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不摘责任、不摘政策、不摘帮扶、不摘监管</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 xml:space="preserve">等情况开展监督检查，党纪政务处分62人，组织处理85人，移送司法机关2人。对4个乡镇，1个区直单位开展脱贫攻坚专项巡察 </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回头看</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深挖细查共性问题，通过举一反三，防患于未然，为打赢脱贫攻坚战提供坚强保障。聚焦群众痛点难点堵点，深入整治群众身边腐败和作风问题，党纪政务处分176人，组织处理73人，其他处理245人，返还群众钱款5187万元，追缴违纪款42.18万元，切实提高群众获得感和满意度。强力整治漠视侵害群众利益问题，党纪政务处分和组织处理57人；通过查办洺洲小学乱收费等案件问题，督促教育系统全面自查自纠，共退费89.9万元；加强人防系统腐败问题专项治理，追缴易地建设费1419.43万元，对5名责任人追责问责。扎实开展</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一问责八清理</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专项行动、基层</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微腐败</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专项整治，大力推行</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两延伸、两提高</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模式，取得明显成效。组织相关区直单位认真梳理，结合实际确定农村基层</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小微权力</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清单，做到晒清单、明权力。在全区363个行政村各配备一名纪检委员，履行提醒、教育、监督、报告和协查职责，切实将全面从严治党延伸到末梢。</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sz w:val="32"/>
          <w:szCs w:val="32"/>
        </w:rPr>
        <w:t>（四）做实监督首责，进一步提升监督实效。</w:t>
      </w:r>
      <w:r>
        <w:rPr>
          <w:rFonts w:hint="default" w:ascii="Times New Roman" w:hAnsi="Times New Roman" w:eastAsia="仿宋_GB2312" w:cs="Times New Roman"/>
          <w:sz w:val="32"/>
          <w:szCs w:val="32"/>
        </w:rPr>
        <w:t>先后开展疫情防控、党风廉政建设等监督检查，做到有安排、有督导、有落实、有</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回头看</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，确保监督运转有序、精准有效。持续深化干部廉洁提醒系统建设，更新完善廉政档案2663人次；制作安装602个</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二维码监督图版</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、12个</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二维码监督公示图版</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集中公开公示栏；受理问题线索70件，强化移交办理；向26名区领导发送履行党风廉政建设</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一岗双责</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提醒函，涉及32个单位187人次；对相关单位下发38份干部廉洁提醒告知书。创新驻点监督，已开展2轮，通过督促驻点单位党组织履行主体责任，共处理35人，区纪委核查处理8名科级干部；深入开展联动监督，对违法违规圈占土地等重点领域，与人大监督同频共振，建立6个工作专班、5个区直部门、1个监督工作组</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6+5+1</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联动机制，查处了水泥地面铺黄土、黄土层上种树苗等虚假整改问题，对监督发现在矿山综合治理生态修复过程中存在的盗挖盗采行为，给予其主管部门负责人区自然资源和规划局副科级干部马某某开除党籍、开除公职处分，涉嫌职务犯罪问题移送检察机关审查起诉。强力推进联县、联乡镇（区直部门）</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1+N</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监督工作，下沉监督力量，共发现问题661件，全部整改。高效推进</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双联双网</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基层监督工作，探索建立</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1+1+8+N+N</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监督工作机制，织密监督之网。充分发挥党风政风社会监督员</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千里眼</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顺风耳</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优势，通过走访等形式，很好发挥了贴身监督作用。</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sz w:val="32"/>
          <w:szCs w:val="32"/>
        </w:rPr>
        <w:t>（五）强化标本兼治，始终保持惩治高压态势。</w:t>
      </w:r>
      <w:r>
        <w:rPr>
          <w:rFonts w:hint="default" w:ascii="Times New Roman" w:hAnsi="Times New Roman" w:eastAsia="仿宋_GB2312" w:cs="Times New Roman"/>
          <w:sz w:val="32"/>
          <w:szCs w:val="32"/>
        </w:rPr>
        <w:t>通过开展存量清零、增量随清</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双清</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活动等举措，换届以来五年信访举报指标较上个五年均呈下降态势，2020年受理信访举报551件，较2016年（下同）同比下降10.84%。受理检举控告379件，同比下降27.53%；受理初次检举控告188件，同比下降25.1%；受理重复检举控告191件，同比下降29.78%，群众对纪检监察工作满意度不断提高。运用</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四种形态</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处理3968人次，第一、二、三、四种形态分别占64.9%、30.1%、2%、3%。始终保持惩治腐败的高压态势，近五年来共立案1329件，党纪政务处分1352人，组织处理1522人，留置13人，涉嫌犯罪移送检察机关审查起诉44人，留置和移送案件数量在全市处于领先位置。严把</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党风廉政意见回复关</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，共廉政审查2.89万余人，防止</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带病提拔</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带病上岗</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带病评优</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印发纪律检查建议书63份、监察建议书143份，做到以案促改、以案促建。召开10次全区领导干部政治性警示教育大会，对74起典型案例通报曝光，以身边事教育身边人。树牢办案安全底线意识，确保审查调查安全。建成占地3亩、办公用房43间的廉政教育基地，包含案件指挥中心、研判室、谈话室、约谈室、医务室在内的高标准功能区。按照建设标准、规范制度、工作流程、组织培训、人员管理的</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五统一</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标准，17个乡镇纪委全部建成高标准谈话室并投入使用。加强追逃工作，充分发挥区反腐败协调小组作用，利用不到一个月的时间，成功劝返一名潜逃13年之久的国家工作人员</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得到了省、市领导的充分肯定。</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sz w:val="32"/>
          <w:szCs w:val="32"/>
        </w:rPr>
        <w:t>（六）聚焦抓细抓常，持之以恒正风肃纪。</w:t>
      </w:r>
      <w:r>
        <w:rPr>
          <w:rFonts w:hint="default" w:ascii="Times New Roman" w:hAnsi="Times New Roman" w:eastAsia="仿宋_GB2312" w:cs="Times New Roman"/>
          <w:sz w:val="32"/>
          <w:szCs w:val="32"/>
        </w:rPr>
        <w:t>紧盯春节、中秋等重要节点，强化违反中央八项规定精神和</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四风</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问题监督检查，先后开展了</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请吃、吃请</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私车公养</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等专项检查，坚持常态发力，党纪政务处分121人，组织处理53人。严查公职人员、党员干部酒驾等行为，给予党纪政务处分175人,对履行主体责任不力的2名区直部门党组书记警示谈话，持续释放执纪越来越严的强烈信号。开展精准走账监督检查，完成17个乡镇公务费支出情况检查，发现问题147个，责成乡镇进行整改。强化党风廉政教育，开展</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党纪法规微课堂</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15期、</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1+1廉政微课堂</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 xml:space="preserve"> 260余期，拍摄微电影6部和《一失足成千古恨》《贪腐不归路》警示教育片，教育4.5万余人次；开展廉政文化进机关活动；成功举办</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廉洁中国•清润邯郸</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全国廉政诗词水墨漫画大赛获奖作品巡展，2000余人接受了警示教育；编发廉洁过节短信15000余条；对71名履新干部开展套餐式廉政教育。</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sz w:val="32"/>
          <w:szCs w:val="32"/>
        </w:rPr>
        <w:t>（七）持续深化改革，把改革成果转化为治理效能。</w:t>
      </w:r>
      <w:r>
        <w:rPr>
          <w:rFonts w:hint="default" w:ascii="Times New Roman" w:hAnsi="Times New Roman" w:eastAsia="仿宋_GB2312" w:cs="Times New Roman"/>
          <w:sz w:val="32"/>
          <w:szCs w:val="32"/>
        </w:rPr>
        <w:t>扎实推进监察体制改革，认真做好人员转隶、监委组建、全面融合，建立完善监委内部运转制度，对关键环节及工作流程梳理细化，对监委调查措施使用和常用文书进行规范。着力实现纪法贯通，一体运用执纪执法</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两把尺子</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，把握党的领导、政策策略、纪法标准内在统一性，精准运用</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四种形态</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。大胆探索与检察机关衔接方式，灵活使用公安机关手段突破案件，与公检法建立案件科学研判机制，推动法法顺畅衔接。加强对下级纪委的领导和指导，做实</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两个为主</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推进纪检监察工作双重领导体制具体化、程序化、制度化。强力推进深化区纪委监委派驻机构改革，共设6个派驻纪检监察组和1个派出机构，实现了对全区59个党政机关及其它组织派驻监督全覆盖；先后制定了《派驻纪检监察组工作规范》等4项制度；梳理驻在部门权力集中点894个，廉政风险点1664个，制定防范措施776条，推动派驻监督从有形覆盖向有效覆盖转变。</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sz w:val="32"/>
          <w:szCs w:val="32"/>
        </w:rPr>
        <w:t>（八）始终严管厚爱，锻造素质过硬的干部队伍。</w:t>
      </w:r>
      <w:r>
        <w:rPr>
          <w:rFonts w:hint="default" w:ascii="Times New Roman" w:hAnsi="Times New Roman" w:eastAsia="仿宋_GB2312" w:cs="Times New Roman"/>
          <w:sz w:val="32"/>
          <w:szCs w:val="32"/>
        </w:rPr>
        <w:t>坚持把配强配优干部队伍置于优先位置，通过考察选拔、制定补员计划录取等方式，截止目前已补员28人，正在招录四级联考公务员15名，一举打破了力量掣肘的瓶颈。坚持把强化理论武装作为对广大纪检监察干部的政治要求，认真组织开展</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不忘初心、牢记使命</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讲守提强</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四型机关创建</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等活动，强化理论学习，达到强党性、严自律、转作风的效果。坚持业务素质提升不止步，利用机关大讲堂，邀请法院、检察院、市场监管局等区直单位轮流讲解专业领域知识。坚持警示教育不松懈，组织观看《打铁还需自身硬》等专题教育片，以发生在纪检监察系统的案件为鉴，召开2次全系统警示教育会，让每名纪检监察干部切实引以为戒、警钟长鸣。坚持刀刃向内不回避，加强日常教育管理监督，制定修订60项工作制度，强化制度约束；对纪检监察干部的举报反映有件必查，谈话函询21人次，10名纪检监察干部受到处理，其中对2名违纪纪检监察干部给予党内严重警告、免职调离岗位处分，用铁的纪律锻造纪检监察铁军。</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在充分肯定成绩的同时，也应该清醒地认识到，当前党风廉政建设和反腐败斗争仍存在一些问题和不足。</w:t>
      </w:r>
      <w:r>
        <w:rPr>
          <w:rFonts w:hint="default" w:ascii="Times New Roman" w:hAnsi="Times New Roman" w:eastAsia="仿宋_GB2312" w:cs="Times New Roman"/>
          <w:b/>
          <w:sz w:val="32"/>
          <w:szCs w:val="32"/>
        </w:rPr>
        <w:t>一是</w:t>
      </w:r>
      <w:r>
        <w:rPr>
          <w:rFonts w:hint="default" w:ascii="Times New Roman" w:hAnsi="Times New Roman" w:eastAsia="仿宋_GB2312" w:cs="Times New Roman"/>
          <w:sz w:val="32"/>
          <w:szCs w:val="32"/>
        </w:rPr>
        <w:t>有的党组织和党员领导干部贯彻执行《党委（党组）落实全面从严治党主体责任规定》不够到位，主动担责意识不强，履行主体责任还有差距。</w:t>
      </w:r>
      <w:r>
        <w:rPr>
          <w:rFonts w:hint="default" w:ascii="Times New Roman" w:hAnsi="Times New Roman" w:eastAsia="仿宋_GB2312" w:cs="Times New Roman"/>
          <w:b/>
          <w:sz w:val="32"/>
          <w:szCs w:val="32"/>
        </w:rPr>
        <w:t>二是</w:t>
      </w:r>
      <w:r>
        <w:rPr>
          <w:rFonts w:hint="default" w:ascii="Times New Roman" w:hAnsi="Times New Roman" w:eastAsia="仿宋_GB2312" w:cs="Times New Roman"/>
          <w:sz w:val="32"/>
          <w:szCs w:val="32"/>
        </w:rPr>
        <w:t>监督整体质效有待进一步提高，对</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一把手</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和领导班子监督方法不多、措施不实，党内监督过多依赖于上级监督，同级监督和下级监督的作用发挥不够。</w:t>
      </w:r>
      <w:r>
        <w:rPr>
          <w:rFonts w:hint="default" w:ascii="Times New Roman" w:hAnsi="Times New Roman" w:eastAsia="仿宋_GB2312" w:cs="Times New Roman"/>
          <w:b/>
          <w:sz w:val="32"/>
          <w:szCs w:val="32"/>
        </w:rPr>
        <w:t>三是</w:t>
      </w:r>
      <w:r>
        <w:rPr>
          <w:rFonts w:hint="default" w:ascii="Times New Roman" w:hAnsi="Times New Roman" w:eastAsia="仿宋_GB2312" w:cs="Times New Roman"/>
          <w:sz w:val="32"/>
          <w:szCs w:val="32"/>
        </w:rPr>
        <w:t>严的主基调必须长期坚持下去，重点领域、关键岗位廉政风险还比较大；</w:t>
      </w:r>
      <w:r>
        <w:rPr>
          <w:rFonts w:hint="default" w:ascii="Times New Roman" w:hAnsi="Times New Roman" w:eastAsia="仿宋_GB2312" w:cs="Times New Roman"/>
          <w:b/>
          <w:sz w:val="32"/>
          <w:szCs w:val="32"/>
        </w:rPr>
        <w:t>四是</w:t>
      </w:r>
      <w:r>
        <w:rPr>
          <w:rFonts w:hint="default" w:ascii="Times New Roman" w:hAnsi="Times New Roman" w:eastAsia="仿宋_GB2312" w:cs="Times New Roman"/>
          <w:sz w:val="32"/>
          <w:szCs w:val="32"/>
        </w:rPr>
        <w:t>群众身边的腐败和作风问题尚未根除，</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啃食</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群众利益和</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三感</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的问题仍时有发生。同时，与全面从严治党的要求和推进高质量发展任务相比，纪律检查机关在政治定位、理念思路、方式方法上还有待提高，一些纪检干部还存在着能力不足、作风不实的问题。这些问题必须引起高度重视，认真加以解决。</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二、五年来工作的主要体会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区第一次党代会以来的五年，全区党风廉政建设和反腐败工作责任更加严明、措施更加有力、成效更加彰显。在这一过程中，全区纪检机关持续改革、整合提升、聚焦主业，一体推进不敢腐、不能腐、不想腐，不断深化标本兼治。我们深切感受到，党风廉政建设和反腐败斗争取得的成绩来之不易，积累的成功经验和有效做法要充分继承和发扬。总结过去五年的工作，有以下体会。</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sz w:val="32"/>
          <w:szCs w:val="32"/>
        </w:rPr>
        <w:t>（一）必须紧扛责任在肩，以</w:t>
      </w:r>
      <w:r>
        <w:rPr>
          <w:rFonts w:hint="default" w:ascii="Times New Roman" w:hAnsi="Times New Roman" w:eastAsia="楷体_GB2312" w:cs="Times New Roman"/>
          <w:b/>
          <w:sz w:val="32"/>
          <w:szCs w:val="32"/>
          <w:lang w:eastAsia="zh-CN"/>
        </w:rPr>
        <w:t>“</w:t>
      </w:r>
      <w:r>
        <w:rPr>
          <w:rFonts w:hint="default" w:ascii="Times New Roman" w:hAnsi="Times New Roman" w:eastAsia="楷体_GB2312" w:cs="Times New Roman"/>
          <w:b/>
          <w:sz w:val="32"/>
          <w:szCs w:val="32"/>
        </w:rPr>
        <w:t>两个责任</w:t>
      </w:r>
      <w:r>
        <w:rPr>
          <w:rFonts w:hint="default" w:ascii="Times New Roman" w:hAnsi="Times New Roman" w:eastAsia="楷体_GB2312" w:cs="Times New Roman"/>
          <w:b/>
          <w:sz w:val="32"/>
          <w:szCs w:val="32"/>
          <w:lang w:eastAsia="zh-CN"/>
        </w:rPr>
        <w:t>”</w:t>
      </w:r>
      <w:r>
        <w:rPr>
          <w:rFonts w:hint="default" w:ascii="Times New Roman" w:hAnsi="Times New Roman" w:eastAsia="楷体_GB2312" w:cs="Times New Roman"/>
          <w:b/>
          <w:sz w:val="32"/>
          <w:szCs w:val="32"/>
        </w:rPr>
        <w:t>贯通协同凝聚全面从严治党强大合力。</w:t>
      </w:r>
      <w:r>
        <w:rPr>
          <w:rFonts w:hint="default" w:ascii="Times New Roman" w:hAnsi="Times New Roman" w:eastAsia="仿宋_GB2312" w:cs="Times New Roman"/>
          <w:sz w:val="32"/>
          <w:szCs w:val="32"/>
        </w:rPr>
        <w:t>五年来，区委坚持以上率下，一级抓一级，层层抓落实，将责任传导到了</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末梢</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推动全区各级党组织切实担负起主体责任。各级纪委既协助和督促党委抓好党风廉政建设责任分解和任务落实，又认真履行监督责任，带动形成了靠全党管全党治全党的良好局面。实践证明，只有把党委主体责任、纪委监督责任真正扛起来，落实下去，实现</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两个责任</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贯通协同，互为促动，形成合力，才能确保全面从严治党不断向纵深推进。</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sz w:val="32"/>
          <w:szCs w:val="32"/>
        </w:rPr>
        <w:t>（二）必须坚持严字当头，以敢于较真碰硬巩固</w:t>
      </w:r>
      <w:r>
        <w:rPr>
          <w:rFonts w:hint="default" w:ascii="Times New Roman" w:hAnsi="Times New Roman" w:eastAsia="楷体_GB2312" w:cs="Times New Roman"/>
          <w:b/>
          <w:sz w:val="32"/>
          <w:szCs w:val="32"/>
          <w:lang w:eastAsia="zh-CN"/>
        </w:rPr>
        <w:t>“</w:t>
      </w:r>
      <w:r>
        <w:rPr>
          <w:rFonts w:hint="default" w:ascii="Times New Roman" w:hAnsi="Times New Roman" w:eastAsia="楷体_GB2312" w:cs="Times New Roman"/>
          <w:b/>
          <w:sz w:val="32"/>
          <w:szCs w:val="32"/>
        </w:rPr>
        <w:t>不敢腐</w:t>
      </w:r>
      <w:r>
        <w:rPr>
          <w:rFonts w:hint="default" w:ascii="Times New Roman" w:hAnsi="Times New Roman" w:eastAsia="楷体_GB2312" w:cs="Times New Roman"/>
          <w:b/>
          <w:sz w:val="32"/>
          <w:szCs w:val="32"/>
          <w:lang w:eastAsia="zh-CN"/>
        </w:rPr>
        <w:t>”</w:t>
      </w:r>
      <w:r>
        <w:rPr>
          <w:rFonts w:hint="default" w:ascii="Times New Roman" w:hAnsi="Times New Roman" w:eastAsia="楷体_GB2312" w:cs="Times New Roman"/>
          <w:b/>
          <w:sz w:val="32"/>
          <w:szCs w:val="32"/>
        </w:rPr>
        <w:t>氛围。</w:t>
      </w:r>
      <w:r>
        <w:rPr>
          <w:rFonts w:hint="default" w:ascii="Times New Roman" w:hAnsi="Times New Roman" w:eastAsia="仿宋_GB2312" w:cs="Times New Roman"/>
          <w:sz w:val="32"/>
          <w:szCs w:val="32"/>
        </w:rPr>
        <w:t>习近平总书记在十九届中央纪委五次全会上指出，把严的主基调长期坚持下去。党的十九大特别是2019年以来，区纪委监委针对永年实际情况，紧盯党的十八大后不收敛、不收手，政治问题和经济问题交织的腐败问题，从严查处了政法、审批、金融、资源、国企等领域一批严重违纪违法行为，在社会上产生了强烈的震慑作用。五年来的实践证明，在党风廉政建设和反腐败中</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开弓没有回头箭</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必须始终坚持有案必查、有腐必惩，不管涉及到谁、什么问题，特别对那些问题特别严重、性质特别恶劣、数额特别巨大的违纪违法行为，要敢于斗争，善于斗争，绝不姑息迁就，把严的态势一直坚持下去，做到底线常在、</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后墙不松</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，提高治理腐败效能。</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sz w:val="32"/>
          <w:szCs w:val="32"/>
        </w:rPr>
        <w:t>（三）必须把监督挺在前面，使党员干部少犯错误或是及时纠正错误。</w:t>
      </w:r>
      <w:r>
        <w:rPr>
          <w:rFonts w:hint="default" w:ascii="Times New Roman" w:hAnsi="Times New Roman" w:eastAsia="仿宋_GB2312" w:cs="Times New Roman"/>
          <w:sz w:val="32"/>
          <w:szCs w:val="32"/>
        </w:rPr>
        <w:t xml:space="preserve">党的十九大以来，区纪委不断探索做实做细监督首责的方法途径，通过谈心谈话、列席会议、走访、调研等方式，及时掌握和了解干部情况，对发现的苗头性、倾向性问题早提醒、早处理，抓早抓小、防微杜渐。深入推进全面从严治党，必须把监督严起来、紧起来、硬起来，才能防止小问题变成大问题，让党员干部感觉到监督常在、约束常在，也时刻感受到组织的关心和爱护。 </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sz w:val="32"/>
          <w:szCs w:val="32"/>
        </w:rPr>
        <w:t>（四）必须勇于大胆探索，以创新举措助力党风廉政建设开新局。</w:t>
      </w:r>
      <w:r>
        <w:rPr>
          <w:rFonts w:hint="default" w:ascii="Times New Roman" w:hAnsi="Times New Roman" w:eastAsia="仿宋_GB2312" w:cs="Times New Roman"/>
          <w:sz w:val="32"/>
          <w:szCs w:val="32"/>
        </w:rPr>
        <w:t>近年来，区纪委紧盯工作中的制约问题，大胆探索，积极创新，驻点监督机制、</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七个一</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信访接待法等创新性做法获得成功，以关键问题的突破撬动全局，取得了明显成效。实践证明，开创党风廉政建设工作新局面，必须坚持以创新激活力、增动力，靠创新的思路和举措，不断破除制约反腐败斗争向纵深发展的体制机制障碍。</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sz w:val="32"/>
          <w:szCs w:val="32"/>
        </w:rPr>
        <w:t>（五）必须深化体制改革，以推动</w:t>
      </w:r>
      <w:r>
        <w:rPr>
          <w:rFonts w:hint="default" w:ascii="Times New Roman" w:hAnsi="Times New Roman" w:eastAsia="楷体_GB2312" w:cs="Times New Roman"/>
          <w:b/>
          <w:sz w:val="32"/>
          <w:szCs w:val="32"/>
          <w:lang w:eastAsia="zh-CN"/>
        </w:rPr>
        <w:t>“</w:t>
      </w:r>
      <w:r>
        <w:rPr>
          <w:rFonts w:hint="default" w:ascii="Times New Roman" w:hAnsi="Times New Roman" w:eastAsia="楷体_GB2312" w:cs="Times New Roman"/>
          <w:b/>
          <w:sz w:val="32"/>
          <w:szCs w:val="32"/>
        </w:rPr>
        <w:t>三转</w:t>
      </w:r>
      <w:r>
        <w:rPr>
          <w:rFonts w:hint="default" w:ascii="Times New Roman" w:hAnsi="Times New Roman" w:eastAsia="楷体_GB2312" w:cs="Times New Roman"/>
          <w:b/>
          <w:sz w:val="32"/>
          <w:szCs w:val="32"/>
          <w:lang w:eastAsia="zh-CN"/>
        </w:rPr>
        <w:t>”</w:t>
      </w:r>
      <w:r>
        <w:rPr>
          <w:rFonts w:hint="default" w:ascii="Times New Roman" w:hAnsi="Times New Roman" w:eastAsia="楷体_GB2312" w:cs="Times New Roman"/>
          <w:b/>
          <w:sz w:val="32"/>
          <w:szCs w:val="32"/>
        </w:rPr>
        <w:t>强化纪检监察队伍自身建设。</w:t>
      </w:r>
      <w:r>
        <w:rPr>
          <w:rFonts w:hint="default" w:ascii="Times New Roman" w:hAnsi="Times New Roman" w:eastAsia="仿宋_GB2312" w:cs="Times New Roman"/>
          <w:sz w:val="32"/>
          <w:szCs w:val="32"/>
        </w:rPr>
        <w:t>全区各级纪检监察机关持续深化纪检监察体制改革，特别是2018年2月区监委成立，与区纪委合署办公，实现了纪法贯通、法法衔接，推动了更高层次的</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三转</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 同时全面落实</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两个责任</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两个为主</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两个全覆盖</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监督执纪执法能力全面提升，为党风廉政建设和反腐败工作向纵深发展提供了坚强组织保证。实践证明，深入推进全面从严治党，各级纪检监察组织必须忠实履行党章和宪法赋予的职责，必须深化纪检监察体制改革，持续推进</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三转</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，提高专业化水平，从严要求约束自己，真正做敢于斗争、善于斗争的纪检监察铁军。</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三、今后五年党风廉政建设和反腐败工作建议</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仿宋_GB2312" w:cs="Times New Roman"/>
          <w:sz w:val="32"/>
          <w:szCs w:val="32"/>
        </w:rPr>
        <w:t>今后五年，是实施</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十四五</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规划、全面建设社会主义现代化国家重要阶段，是推进高质量发展的关键时期，做好纪律检查工作意义重大。当前和今后一个时期，全区党风廉政建设和反腐败工作的总体思路是：</w:t>
      </w:r>
      <w:r>
        <w:rPr>
          <w:rFonts w:hint="default" w:ascii="Times New Roman" w:hAnsi="Times New Roman" w:eastAsia="黑体" w:cs="Times New Roman"/>
          <w:sz w:val="32"/>
          <w:szCs w:val="32"/>
        </w:rPr>
        <w:t>以习近平新时代中国特色社会主义思想为指导，以迎接二十大、学习二十大、贯彻二十大为主线，在市委、市纪委和区委的坚强领导下，按照区第二次党代会部署要求，增强</w:t>
      </w:r>
      <w:r>
        <w:rPr>
          <w:rFonts w:hint="default" w:ascii="Times New Roman" w:hAnsi="Times New Roman" w:eastAsia="黑体" w:cs="Times New Roman"/>
          <w:sz w:val="32"/>
          <w:szCs w:val="32"/>
          <w:lang w:eastAsia="zh-CN"/>
        </w:rPr>
        <w:t>“</w:t>
      </w:r>
      <w:r>
        <w:rPr>
          <w:rFonts w:hint="default" w:ascii="Times New Roman" w:hAnsi="Times New Roman" w:eastAsia="黑体" w:cs="Times New Roman"/>
          <w:sz w:val="32"/>
          <w:szCs w:val="32"/>
        </w:rPr>
        <w:t>四个意识</w:t>
      </w:r>
      <w:r>
        <w:rPr>
          <w:rFonts w:hint="default" w:ascii="Times New Roman" w:hAnsi="Times New Roman" w:eastAsia="黑体" w:cs="Times New Roman"/>
          <w:sz w:val="32"/>
          <w:szCs w:val="32"/>
          <w:lang w:eastAsia="zh-CN"/>
        </w:rPr>
        <w:t>”</w:t>
      </w:r>
      <w:r>
        <w:rPr>
          <w:rFonts w:hint="default" w:ascii="Times New Roman" w:hAnsi="Times New Roman" w:eastAsia="黑体" w:cs="Times New Roman"/>
          <w:sz w:val="32"/>
          <w:szCs w:val="32"/>
        </w:rPr>
        <w:t>，坚定</w:t>
      </w:r>
      <w:r>
        <w:rPr>
          <w:rFonts w:hint="default" w:ascii="Times New Roman" w:hAnsi="Times New Roman" w:eastAsia="黑体" w:cs="Times New Roman"/>
          <w:sz w:val="32"/>
          <w:szCs w:val="32"/>
          <w:lang w:eastAsia="zh-CN"/>
        </w:rPr>
        <w:t>“</w:t>
      </w:r>
      <w:r>
        <w:rPr>
          <w:rFonts w:hint="default" w:ascii="Times New Roman" w:hAnsi="Times New Roman" w:eastAsia="黑体" w:cs="Times New Roman"/>
          <w:sz w:val="32"/>
          <w:szCs w:val="32"/>
        </w:rPr>
        <w:t>四个自信</w:t>
      </w:r>
      <w:r>
        <w:rPr>
          <w:rFonts w:hint="default" w:ascii="Times New Roman" w:hAnsi="Times New Roman" w:eastAsia="黑体" w:cs="Times New Roman"/>
          <w:sz w:val="32"/>
          <w:szCs w:val="32"/>
          <w:lang w:eastAsia="zh-CN"/>
        </w:rPr>
        <w:t>”</w:t>
      </w:r>
      <w:r>
        <w:rPr>
          <w:rFonts w:hint="default" w:ascii="Times New Roman" w:hAnsi="Times New Roman" w:eastAsia="黑体" w:cs="Times New Roman"/>
          <w:sz w:val="32"/>
          <w:szCs w:val="32"/>
        </w:rPr>
        <w:t>，落实</w:t>
      </w:r>
      <w:r>
        <w:rPr>
          <w:rFonts w:hint="default" w:ascii="Times New Roman" w:hAnsi="Times New Roman" w:eastAsia="黑体" w:cs="Times New Roman"/>
          <w:sz w:val="32"/>
          <w:szCs w:val="32"/>
          <w:lang w:eastAsia="zh-CN"/>
        </w:rPr>
        <w:t>“</w:t>
      </w:r>
      <w:r>
        <w:rPr>
          <w:rFonts w:hint="default" w:ascii="Times New Roman" w:hAnsi="Times New Roman" w:eastAsia="黑体" w:cs="Times New Roman"/>
          <w:sz w:val="32"/>
          <w:szCs w:val="32"/>
        </w:rPr>
        <w:t>两个维护</w:t>
      </w:r>
      <w:r>
        <w:rPr>
          <w:rFonts w:hint="default" w:ascii="Times New Roman" w:hAnsi="Times New Roman" w:eastAsia="黑体" w:cs="Times New Roman"/>
          <w:sz w:val="32"/>
          <w:szCs w:val="32"/>
          <w:lang w:eastAsia="zh-CN"/>
        </w:rPr>
        <w:t>”</w:t>
      </w:r>
      <w:r>
        <w:rPr>
          <w:rFonts w:hint="default" w:ascii="Times New Roman" w:hAnsi="Times New Roman" w:eastAsia="黑体" w:cs="Times New Roman"/>
          <w:sz w:val="32"/>
          <w:szCs w:val="32"/>
        </w:rPr>
        <w:t>，忠实履行党章和宪法赋予的职责，坚持稳中求进、坚定稳妥，推进高质量发展，聚焦监督首要职责，突出政治监督，一体推进不敢腐不能腐不想腐，持续巩固发展反腐败斗争压倒性胜利，扎实推进纪检监察工作规范化法治化建设和干部队伍建设，为落实好区第二次党代会作出的各项决策部署，加快建设富强文明美丽的现代化新永年提供坚强保障。</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sz w:val="32"/>
          <w:szCs w:val="32"/>
        </w:rPr>
        <w:t>（一）坚决践行</w:t>
      </w:r>
      <w:r>
        <w:rPr>
          <w:rFonts w:hint="default" w:ascii="Times New Roman" w:hAnsi="Times New Roman" w:eastAsia="楷体_GB2312" w:cs="Times New Roman"/>
          <w:b/>
          <w:sz w:val="32"/>
          <w:szCs w:val="32"/>
          <w:lang w:eastAsia="zh-CN"/>
        </w:rPr>
        <w:t>“</w:t>
      </w:r>
      <w:r>
        <w:rPr>
          <w:rFonts w:hint="default" w:ascii="Times New Roman" w:hAnsi="Times New Roman" w:eastAsia="楷体_GB2312" w:cs="Times New Roman"/>
          <w:b/>
          <w:sz w:val="32"/>
          <w:szCs w:val="32"/>
        </w:rPr>
        <w:t>两个维护</w:t>
      </w:r>
      <w:r>
        <w:rPr>
          <w:rFonts w:hint="default" w:ascii="Times New Roman" w:hAnsi="Times New Roman" w:eastAsia="楷体_GB2312" w:cs="Times New Roman"/>
          <w:b/>
          <w:sz w:val="32"/>
          <w:szCs w:val="32"/>
          <w:lang w:eastAsia="zh-CN"/>
        </w:rPr>
        <w:t>”</w:t>
      </w:r>
      <w:r>
        <w:rPr>
          <w:rFonts w:hint="default" w:ascii="Times New Roman" w:hAnsi="Times New Roman" w:eastAsia="楷体_GB2312" w:cs="Times New Roman"/>
          <w:b/>
          <w:sz w:val="32"/>
          <w:szCs w:val="32"/>
        </w:rPr>
        <w:t>，以强有力的政治监督保障</w:t>
      </w:r>
      <w:r>
        <w:rPr>
          <w:rFonts w:hint="default" w:ascii="Times New Roman" w:hAnsi="Times New Roman" w:eastAsia="楷体_GB2312" w:cs="Times New Roman"/>
          <w:b/>
          <w:sz w:val="32"/>
          <w:szCs w:val="32"/>
          <w:lang w:eastAsia="zh-CN"/>
        </w:rPr>
        <w:t>“</w:t>
      </w:r>
      <w:r>
        <w:rPr>
          <w:rFonts w:hint="default" w:ascii="Times New Roman" w:hAnsi="Times New Roman" w:eastAsia="楷体_GB2312" w:cs="Times New Roman"/>
          <w:b/>
          <w:sz w:val="32"/>
          <w:szCs w:val="32"/>
        </w:rPr>
        <w:t>十四五</w:t>
      </w:r>
      <w:r>
        <w:rPr>
          <w:rFonts w:hint="default" w:ascii="Times New Roman" w:hAnsi="Times New Roman" w:eastAsia="楷体_GB2312" w:cs="Times New Roman"/>
          <w:b/>
          <w:sz w:val="32"/>
          <w:szCs w:val="32"/>
          <w:lang w:eastAsia="zh-CN"/>
        </w:rPr>
        <w:t>”</w:t>
      </w:r>
      <w:r>
        <w:rPr>
          <w:rFonts w:hint="default" w:ascii="Times New Roman" w:hAnsi="Times New Roman" w:eastAsia="楷体_GB2312" w:cs="Times New Roman"/>
          <w:b/>
          <w:sz w:val="32"/>
          <w:szCs w:val="32"/>
        </w:rPr>
        <w:t>规划顺利实施。</w:t>
      </w:r>
      <w:r>
        <w:rPr>
          <w:rFonts w:hint="default" w:ascii="Times New Roman" w:hAnsi="Times New Roman" w:eastAsia="仿宋_GB2312" w:cs="Times New Roman"/>
          <w:sz w:val="32"/>
          <w:szCs w:val="32"/>
        </w:rPr>
        <w:t>要紧扣</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两个维护</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强化政治监督。坚持党中央的重大决策部署到哪里，监督检查就跟进到哪里，聚焦各级党组织及其</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一把手</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务实担当作为、狠抓工作落实情况，着力发现和纠正</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四个意识</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不强、责任落实不力、上有政策下有对策等问题，督促全区各级党组织和广大党员紧密团结在以习近平同志为核心的党中央周围，保障党中央重大决策部署在永年贯彻落实。要把握政治监督的具体着力点。围绕推动高质量发展、深化供给侧结构性改革、巩固拓展疫情防控和经济社会发展成果等重点任务落实情况，加强监督检查，督促落实到位。尤其要看清被监督单位在</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十四五</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时期的职责使命，把握好对其的重点监督任务，从实际出发精准开展监督，督促其既抓好自身工作，又加强条块协作联动，坚决保障</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十四五</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规划顺利推进。要紧盯责任提升监督实效。督促各级党组织和党员领导干部切实负起责任，把主体责任落实到具体的人和事，解决好</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最后一公里</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问题，防止监督失焦、问责泛化。要进一步处理好监督和支持的关系，对于正确履职的要撑腰鼓劲，对敢担当的要激励保护，对于存在问题的要抓早抓小，指明政治偏差、督促尽力尽责，完善制度漏洞，以积极有效的监督推力，帮助解决问题。</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sz w:val="32"/>
          <w:szCs w:val="32"/>
          <w:lang w:eastAsia="zh-CN"/>
        </w:rPr>
        <w:t>（</w:t>
      </w:r>
      <w:r>
        <w:rPr>
          <w:rFonts w:hint="default" w:ascii="Times New Roman" w:hAnsi="Times New Roman" w:eastAsia="楷体_GB2312" w:cs="Times New Roman"/>
          <w:b/>
          <w:sz w:val="32"/>
          <w:szCs w:val="32"/>
        </w:rPr>
        <w:t>二</w:t>
      </w:r>
      <w:r>
        <w:rPr>
          <w:rFonts w:hint="default" w:ascii="Times New Roman" w:hAnsi="Times New Roman" w:eastAsia="楷体_GB2312" w:cs="Times New Roman"/>
          <w:b/>
          <w:sz w:val="32"/>
          <w:szCs w:val="32"/>
          <w:lang w:eastAsia="zh-CN"/>
        </w:rPr>
        <w:t>）</w:t>
      </w:r>
      <w:r>
        <w:rPr>
          <w:rFonts w:hint="default" w:ascii="Times New Roman" w:hAnsi="Times New Roman" w:eastAsia="楷体_GB2312" w:cs="Times New Roman"/>
          <w:b/>
          <w:sz w:val="32"/>
          <w:szCs w:val="32"/>
        </w:rPr>
        <w:t>抓实</w:t>
      </w:r>
      <w:r>
        <w:rPr>
          <w:rFonts w:hint="default" w:ascii="Times New Roman" w:hAnsi="Times New Roman" w:eastAsia="楷体_GB2312" w:cs="Times New Roman"/>
          <w:b/>
          <w:sz w:val="32"/>
          <w:szCs w:val="32"/>
          <w:lang w:eastAsia="zh-CN"/>
        </w:rPr>
        <w:t>“</w:t>
      </w:r>
      <w:r>
        <w:rPr>
          <w:rFonts w:hint="default" w:ascii="Times New Roman" w:hAnsi="Times New Roman" w:eastAsia="楷体_GB2312" w:cs="Times New Roman"/>
          <w:b/>
          <w:sz w:val="32"/>
          <w:szCs w:val="32"/>
        </w:rPr>
        <w:t>三不</w:t>
      </w:r>
      <w:r>
        <w:rPr>
          <w:rFonts w:hint="default" w:ascii="Times New Roman" w:hAnsi="Times New Roman" w:eastAsia="楷体_GB2312" w:cs="Times New Roman"/>
          <w:b/>
          <w:sz w:val="32"/>
          <w:szCs w:val="32"/>
          <w:lang w:eastAsia="zh-CN"/>
        </w:rPr>
        <w:t>”</w:t>
      </w:r>
      <w:r>
        <w:rPr>
          <w:rFonts w:hint="default" w:ascii="Times New Roman" w:hAnsi="Times New Roman" w:eastAsia="楷体_GB2312" w:cs="Times New Roman"/>
          <w:b/>
          <w:sz w:val="32"/>
          <w:szCs w:val="32"/>
        </w:rPr>
        <w:t>一体推进，持续巩固发展反腐败压倒性胜利成果。</w:t>
      </w:r>
      <w:r>
        <w:rPr>
          <w:rFonts w:hint="default" w:ascii="Times New Roman" w:hAnsi="Times New Roman" w:eastAsia="仿宋_GB2312" w:cs="Times New Roman"/>
          <w:sz w:val="32"/>
          <w:szCs w:val="32"/>
        </w:rPr>
        <w:t>要始终保持反腐败的高压态势。反腐败斗争首先要从政治上看，重点查处政治问题和经济问题交织的腐败案件。把严的主基调长期保持下去，坚定不移减少存量，下大气力遏制增量。持续深化金融、国企、政法、资源等领域反腐败工作。聚焦政策支持力度大、投资密集、资源集中的领域和环节，坚决查处基础设施建设、项目审批、公共资源交易等方面的腐败问题，以及</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雅贿</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影子股东</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等隐性腐败问题。尤其紧盯新型腐败，对</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期权腐败</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高利转贷罪</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一家两制</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式腐败等，要看清本质，始终高度警觉，做到常抓不懈。认真落实乡镇纪委</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协作片区</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联合办案工作机制，切实推动其执纪审查工作高质量发展。要精准把握政策策略。坚持惩前毖后，治病救人，精准运用</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四种形态</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，认真落实</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三个区分开来</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，实事求是，分类施策，强化思想政治工作，做到早发现早提醒、真容错敢纠错、讲政策给出路。要把严惩腐败与严密制度、严格要求、严肃教育紧密结合。探索推行行贿人</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黑名单</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等制度；着眼全过程，做实以案促改、以案促建、以案促治；加强廉洁文化建设，依托</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党纪法规微课堂</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1+1廉政微课堂</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等载体，用好精心打造的现代西调廉政大戏《惊雷》，抓好党风廉政教育，引导党员干部树立正确的世界观、人生观、价值观。</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sz w:val="32"/>
          <w:szCs w:val="32"/>
        </w:rPr>
        <w:t>（三）深化整治</w:t>
      </w:r>
      <w:r>
        <w:rPr>
          <w:rFonts w:hint="default" w:ascii="Times New Roman" w:hAnsi="Times New Roman" w:eastAsia="楷体_GB2312" w:cs="Times New Roman"/>
          <w:b/>
          <w:sz w:val="32"/>
          <w:szCs w:val="32"/>
          <w:lang w:eastAsia="zh-CN"/>
        </w:rPr>
        <w:t>“</w:t>
      </w:r>
      <w:r>
        <w:rPr>
          <w:rFonts w:hint="default" w:ascii="Times New Roman" w:hAnsi="Times New Roman" w:eastAsia="楷体_GB2312" w:cs="Times New Roman"/>
          <w:b/>
          <w:sz w:val="32"/>
          <w:szCs w:val="32"/>
        </w:rPr>
        <w:t>四风</w:t>
      </w:r>
      <w:r>
        <w:rPr>
          <w:rFonts w:hint="default" w:ascii="Times New Roman" w:hAnsi="Times New Roman" w:eastAsia="楷体_GB2312" w:cs="Times New Roman"/>
          <w:b/>
          <w:sz w:val="32"/>
          <w:szCs w:val="32"/>
          <w:lang w:eastAsia="zh-CN"/>
        </w:rPr>
        <w:t>”</w:t>
      </w:r>
      <w:r>
        <w:rPr>
          <w:rFonts w:hint="default" w:ascii="Times New Roman" w:hAnsi="Times New Roman" w:eastAsia="楷体_GB2312" w:cs="Times New Roman"/>
          <w:b/>
          <w:sz w:val="32"/>
          <w:szCs w:val="32"/>
        </w:rPr>
        <w:t>顽瘴痼疾，持续推动作风建设。</w:t>
      </w:r>
      <w:r>
        <w:rPr>
          <w:rFonts w:hint="default" w:ascii="Times New Roman" w:hAnsi="Times New Roman" w:eastAsia="仿宋_GB2312" w:cs="Times New Roman"/>
          <w:sz w:val="32"/>
          <w:szCs w:val="32"/>
        </w:rPr>
        <w:t>要加大查处问责和通报曝光力度，锲而不舍落实中央八项规定及其实施细则精神。要紧盯贯彻党中央决策部署做选择、搞变通、打折扣，特别是搞</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包装式</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落实，</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一刀切式</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落实等问题，有针对性解决对人民群众不负责任、不担当不作为、做官老爷颐指气使、问责泛化损害积极性等问题，持续解决</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伪创新</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资料秀</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假作为和重复开会发文、扎</w:t>
      </w:r>
      <w:r>
        <w:rPr>
          <w:rFonts w:hint="default" w:ascii="Times New Roman" w:hAnsi="Times New Roman" w:eastAsia="仿宋_GB2312" w:cs="Times New Roman"/>
          <w:sz w:val="32"/>
          <w:szCs w:val="32"/>
          <w:lang w:eastAsia="zh-CN"/>
        </w:rPr>
        <w:t>堆</w:t>
      </w:r>
      <w:r>
        <w:rPr>
          <w:rFonts w:hint="default" w:ascii="Times New Roman" w:hAnsi="Times New Roman" w:eastAsia="仿宋_GB2312" w:cs="Times New Roman"/>
          <w:sz w:val="32"/>
          <w:szCs w:val="32"/>
        </w:rPr>
        <w:t>调研检查要表格等增加检查负担的问题，打好纠正</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组合拳</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。要紧盯节点，抓好日常，密切关注享乐主义、奢靡之风新动向，突出节约粮食、餐饮浪费、酒驾等行为，严肃查处</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旧病</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复发和新型变异，坚决防反弹回潮。对反复出现、普遍发生的</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四风</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问题，研究分析症结所在，推动健全制度机制，优化源头治理。督促严格执行规范领导干部配偶、子女及其配偶经商办企业行为规定，认真落实领导干部生病住院、婚丧喜庆事宜等重大事项报备制度，做到以上率下、层层落实。教育引导党员干部自觉抵制特权思想和特权行为，廉洁齐家，严格家教家风，探索开展</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清廉家风</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主题教育活动，管好家属子女，习惯在受监督和约束的环境中工作生活。</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sz w:val="32"/>
          <w:szCs w:val="32"/>
        </w:rPr>
        <w:t>（四）坚持人民至上，持续整治群众身边的腐败和作风问题。</w:t>
      </w:r>
      <w:r>
        <w:rPr>
          <w:rFonts w:hint="default" w:ascii="Times New Roman" w:hAnsi="Times New Roman" w:eastAsia="仿宋_GB2312" w:cs="Times New Roman"/>
          <w:sz w:val="32"/>
          <w:szCs w:val="32"/>
        </w:rPr>
        <w:t>要持续加强对各项惠民富民、促进共同富裕政策措施落实情况监督检查，深入治理群众深恶痛绝、反映强烈的突出问题，让群众在反腐</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拍蝇</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中增强获得感。要强化对落实脱贫攻坚</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四个不摘</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政策的监督，开展过渡期专项检查，推动巩固拓展脱贫攻坚成果同乡村振兴有效衔接。持续纠治医疗教育、养老保险、生态环境、安全生产、食品药品安全、执法司法等领域腐败和作风问题，加大力度打击黑恶势力</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保护伞</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，高度关注取保候审保证金</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乱</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、不起诉</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滥</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、执行</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难</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等现象涉及监督不严、以权谋私、行贿受贿等问题。强化基层监督工作。深化基层</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双联双网</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监督执纪机制建设，整合基层监督力量，推进下沉监督、交叉监督、联合监督、过程监督，保障党中央重大决策部署在乡村基层贯彻落实，防止</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微腐败</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问题发生。深化</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小微权力</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清单管理规范运行工作，制定《关于实行村（社区）</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三资</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管理提级监督的实施方案》，探索开展村级集体</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三资</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提级监督试点，压减基层</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小微权力</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设租寻租空间。构建信访举报大格局，以维护好群众的举报权为着力点，在内部科室建立责任链条，并积极对接全区信访工作，压实相关方面的责任，不能一交了之，切实维护群众利益。</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sz w:val="32"/>
          <w:szCs w:val="32"/>
        </w:rPr>
        <w:t>（五）推进统筹联动，充分发挥党内监督利剑和密切联系群众纽带作用。</w:t>
      </w:r>
      <w:r>
        <w:rPr>
          <w:rFonts w:hint="default" w:ascii="Times New Roman" w:hAnsi="Times New Roman" w:eastAsia="仿宋_GB2312" w:cs="Times New Roman"/>
          <w:sz w:val="32"/>
          <w:szCs w:val="32"/>
        </w:rPr>
        <w:t>持续深化政治巡察，科学谋划推动新一届区委巡察工作。立足常规巡察，有针对性开展专项巡察、机动巡察和巡察</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回头看</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全面提高巡察质量。突出巡察整改。持续完善巡察工作领导小组成员带头抓整改、巡察机构指导整改、纪检监察机关和组织部门日常监督整改、被巡察党组织具体落实整改的工作机制，推动巡察整改落实落细。巩固整改成果。探索建立巡察整改促进机制、评估机制。组建</w:t>
      </w:r>
      <w:r>
        <w:rPr>
          <w:rFonts w:hint="default" w:ascii="Times New Roman" w:hAnsi="Times New Roman" w:eastAsia="仿宋_GB2312" w:cs="Times New Roman"/>
          <w:sz w:val="32"/>
          <w:szCs w:val="32"/>
          <w:lang w:val="en-US" w:eastAsia="zh-CN"/>
        </w:rPr>
        <w:t>巡察整改</w:t>
      </w:r>
      <w:r>
        <w:rPr>
          <w:rFonts w:hint="default" w:ascii="Times New Roman" w:hAnsi="Times New Roman" w:eastAsia="仿宋_GB2312" w:cs="Times New Roman"/>
          <w:sz w:val="32"/>
          <w:szCs w:val="32"/>
        </w:rPr>
        <w:t>指导督导组实行交叉包联，对巡察反馈问题</w:t>
      </w:r>
      <w:r>
        <w:rPr>
          <w:rFonts w:hint="default" w:ascii="Times New Roman" w:hAnsi="Times New Roman" w:eastAsia="仿宋_GB2312" w:cs="Times New Roman"/>
          <w:sz w:val="32"/>
          <w:szCs w:val="32"/>
          <w:lang w:val="en-US" w:eastAsia="zh-CN"/>
        </w:rPr>
        <w:t>整改</w:t>
      </w:r>
      <w:r>
        <w:rPr>
          <w:rFonts w:hint="default" w:ascii="Times New Roman" w:hAnsi="Times New Roman" w:eastAsia="仿宋_GB2312" w:cs="Times New Roman"/>
          <w:sz w:val="32"/>
          <w:szCs w:val="32"/>
        </w:rPr>
        <w:t>进行清单管理、挂账督办，督促被巡察党组织书记履行第一责任人责任，督促其他班子成员履行</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一岗双责</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切实抓好整改。把村级巡察作为重点，针对群众最急最忧最盼的事，持续推动巡察利剑直插到末梢。强化巡察成果运用。坚持边巡边改、立行立改，对巡察中发现的个性、共性问题，分类专项整治，并举一反三，推进建章立制，从源头上巩固巡察成果。加强协作配合，认真落实《关于建立区委巡察机构与区纪委监委协作配合机制的意见（试行）》等6个文件，进一步推动巡察与纪律、监察、派驻、组织等监督统筹衔接，与宣传、政法、审计、财会、群众、舆论等监督协作配合。</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sz w:val="32"/>
          <w:szCs w:val="32"/>
        </w:rPr>
        <w:t>（六）促进各类监督贯通融合，不断增强监督治理效能。</w:t>
      </w:r>
      <w:r>
        <w:rPr>
          <w:rFonts w:hint="default" w:ascii="Times New Roman" w:hAnsi="Times New Roman" w:eastAsia="仿宋_GB2312" w:cs="Times New Roman"/>
          <w:sz w:val="32"/>
          <w:szCs w:val="32"/>
        </w:rPr>
        <w:t>以党内监督为主导和统领，对内推进</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四项监督</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统筹衔接，对外发挥纪委监委监督的协助引领推动功能，促进以党内监督为主导、各种监督贯通协调</w:t>
      </w:r>
      <w:bookmarkStart w:id="0" w:name="_GoBack"/>
      <w:bookmarkEnd w:id="0"/>
      <w:r>
        <w:rPr>
          <w:rFonts w:hint="default" w:ascii="Times New Roman" w:hAnsi="Times New Roman" w:eastAsia="仿宋_GB2312" w:cs="Times New Roman"/>
          <w:sz w:val="32"/>
          <w:szCs w:val="32"/>
        </w:rPr>
        <w:t>。持续深化干部廉洁提醒系统建设，构建大监督平台，探索设立优化营商环境企业监测点，深入开展驻点监督、联动监督，充分发挥党风政风社会监督员作用，推动形成常态长效监督合力。做深日常监督，综合运用走访、调研、督查、谈心谈话等方法，监督于问题未发之时。尤其常态化开展调研式监督，每季度针对全区经济社会发展、党风廉政建设等方面突出问题，确定一个主题开展解剖式调研，实现监督的精准透视。把换届后新任职的领导干部作为重点，提醒其要警惕</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围猎</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和权力腐蚀，加强日常监督，抓早抓小，督促其做到廉洁自律。加强对</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一把手</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和领导班子监督。要认真贯彻中共中央制定的《关于加强对</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一把手</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和领导班子监督的意见》，全面推进对同级监督和</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一把手</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监督</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四个常态化并制度化</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，制定《永年区纪委监委关于贯彻落实加强对</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一把手</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和领导班子的监督意见的实施细则（试行）》，以有效监督把</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关键少数</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管住管好。加强对同级党委和下级党组织的监督，探索上级纪委同下级党</w:t>
      </w:r>
      <w:r>
        <w:rPr>
          <w:rFonts w:hint="default" w:ascii="Times New Roman" w:hAnsi="Times New Roman" w:eastAsia="仿宋_GB2312" w:cs="Times New Roman"/>
          <w:sz w:val="32"/>
          <w:szCs w:val="32"/>
          <w:lang w:eastAsia="zh-CN"/>
        </w:rPr>
        <w:t>组织领导</w:t>
      </w:r>
      <w:r>
        <w:rPr>
          <w:rFonts w:hint="default" w:ascii="Times New Roman" w:hAnsi="Times New Roman" w:eastAsia="仿宋_GB2312" w:cs="Times New Roman"/>
          <w:sz w:val="32"/>
          <w:szCs w:val="32"/>
        </w:rPr>
        <w:t>班子成员集体谈话、上一级纪委书记定期与下一级党</w:t>
      </w:r>
      <w:r>
        <w:rPr>
          <w:rFonts w:hint="default" w:ascii="Times New Roman" w:hAnsi="Times New Roman" w:eastAsia="仿宋_GB2312" w:cs="Times New Roman"/>
          <w:sz w:val="32"/>
          <w:szCs w:val="32"/>
          <w:lang w:eastAsia="zh-CN"/>
        </w:rPr>
        <w:t>组织书</w:t>
      </w:r>
      <w:r>
        <w:rPr>
          <w:rFonts w:hint="default" w:ascii="Times New Roman" w:hAnsi="Times New Roman" w:eastAsia="仿宋_GB2312" w:cs="Times New Roman"/>
          <w:sz w:val="32"/>
          <w:szCs w:val="32"/>
        </w:rPr>
        <w:t>记谈话、开展述责述廉评议等有效做法，努力破解</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一把手</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监督和同级监督的难题。</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sz w:val="32"/>
          <w:szCs w:val="32"/>
        </w:rPr>
        <w:t>（七）深化纪检监察改革，有效推进党内监督和国家监察全覆盖。</w:t>
      </w:r>
      <w:r>
        <w:rPr>
          <w:rFonts w:hint="default" w:ascii="Times New Roman" w:hAnsi="Times New Roman" w:eastAsia="仿宋_GB2312" w:cs="Times New Roman"/>
          <w:sz w:val="32"/>
          <w:szCs w:val="32"/>
        </w:rPr>
        <w:t>严格落实</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两为主一报告</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及时主动向市纪委监委和区委请示报告工作。围绕监督检查、审查调查等关键环节，加强区纪委监委对乡镇纪委、派驻机构、派出机构的领导。深化派驻机构改革，完善派驻监督体制机制，认真落实新制定的《派驻纪检监察组工作规范（试行）》，发挥派驻监督全天候、近距离、常态化的优势。探索形成</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室组</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联动监督、</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室组地</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 xml:space="preserve">联合办案制度机制。完善监察权运行机制，贯通规纪法、衔接纪法罪。扎实推进纪检监察信息化工作。依法依规、稳妥有序向本级人大常委会报告专项工作。要坚持以制度建设为主线，推动改革向纵深发展。在目前区纪委已具备制度体系雏形的基础上，做好现有制度的清、立、改、废工作，进一步填补制度空白、破解制度障碍，打通制度堵点，形成完善、管用的制度体系。要加大对制度执行情况的监督检查力度，督促纪检监察干部切实学好制度，自觉运用制度，不折不扣执行制度。                                                                                                                                                                                                                </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sz w:val="32"/>
          <w:szCs w:val="32"/>
        </w:rPr>
        <w:t>（八）与时俱进加强队伍建设，打造素质过硬纪检监察铁军。</w:t>
      </w:r>
      <w:r>
        <w:rPr>
          <w:rFonts w:hint="default" w:ascii="Times New Roman" w:hAnsi="Times New Roman" w:eastAsia="仿宋_GB2312" w:cs="Times New Roman"/>
          <w:sz w:val="32"/>
          <w:szCs w:val="32"/>
        </w:rPr>
        <w:t>加强政治建设。带头旗帜鲜明讲政治，把习近平新时代中国特色社会主义思想学到根子上，用到实践中，进一步提高政治判断力、政治领悟力、政治执行力，自觉做到</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两个维护</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充分利用党史学习教育等载体，深入开展党性教育和理想信念教育，培养严实深细快的工作作风，锻造敢于斗争、善于斗争的政治品格。加强组织建设。认真抓好机关党建，充分发挥党支部战斗堡垒作用，开展优秀共产党员、优秀党务工作者和先进基层党组织评选活动，切实加强基层基础建设。树立正确选人用人导向，强化干部培养和选拔任用，充实加强队伍建设。加强能力建设。创新线上线下培训，深化全员培训，分层次、分对象、分专题开展，增强干部培训实效性，不断提高干部队伍专业化水平。加强纪律建设。坚持严管厚爱，严格执行《规则》《规定》，严守纪检监察权力边界。加大严管严治、自我净化力度，持续整治</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灯下黑</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，决不让党和人民赋予的权力腐蚀生锈，以铁一般的纪律作风锻造纪检监察队伍。</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同志们，站在新的起点上推进党风廉政建设和反腐败斗争，责任重大、使命光荣。我们要在市纪委和区委的坚强领导下，凝神聚力、强化担当、努力工作、开拓奋进，坚定不移推进党风廉政建设和反腐败斗争不断取得新成效，为保障</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十四五</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规划顺利实施，全面建设富强文明美丽的现代化新永年作出新的更大贡献！</w:t>
      </w:r>
    </w:p>
    <w:sectPr>
      <w:footerReference r:id="rId3" w:type="default"/>
      <w:pgSz w:w="11906" w:h="16838"/>
      <w:pgMar w:top="2098" w:right="1531" w:bottom="1871" w:left="1531" w:header="851" w:footer="1474" w:gutter="0"/>
      <w:pgNumType w:fmt="numberInDash"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sdt>
                          <w:sdtPr>
                            <w:id w:val="1536229324"/>
                            <w:docPartObj>
                              <w:docPartGallery w:val="autotext"/>
                            </w:docPartObj>
                          </w:sdtPr>
                          <w:sdtContent>
                            <w:p>
                              <w:pPr>
                                <w:pStyle w:val="3"/>
                                <w:jc w:val="cente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PAGE   \* MERGEFORMAT</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lang w:val="zh-CN"/>
                                </w:rPr>
                                <w:t>2</w:t>
                              </w:r>
                              <w:r>
                                <w:rPr>
                                  <w:rFonts w:hint="eastAsia" w:asciiTheme="majorEastAsia" w:hAnsiTheme="majorEastAsia" w:eastAsiaTheme="majorEastAsia" w:cstheme="majorEastAsia"/>
                                  <w:sz w:val="28"/>
                                  <w:szCs w:val="28"/>
                                </w:rPr>
                                <w:fldChar w:fldCharType="end"/>
                              </w:r>
                            </w:p>
                          </w:sdtContent>
                        </w:sdt>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6pebnPAAAABQEAAA8A&#10;AAAAAAAAAQAgAAAAIgAAAGRycy9kb3ducmV2LnhtbFBLAQIUABQAAAAIAIdO4kCtTvnA5wEAAMcD&#10;AAAOAAAAAAAAAAEAIAAAAB4BAABkcnMvZTJvRG9jLnhtbFBLBQYAAAAABgAGAFkBAAB3BQAAAAA=&#10;">
              <v:fill on="f" focussize="0,0"/>
              <v:stroke on="f"/>
              <v:imagedata o:title=""/>
              <o:lock v:ext="edit" aspectratio="f"/>
              <v:textbox inset="0mm,0mm,0mm,0mm" style="mso-fit-shape-to-text:t;">
                <w:txbxContent>
                  <w:sdt>
                    <w:sdtPr>
                      <w:id w:val="1536229324"/>
                      <w:docPartObj>
                        <w:docPartGallery w:val="autotext"/>
                      </w:docPartObj>
                    </w:sdtPr>
                    <w:sdtContent>
                      <w:p>
                        <w:pPr>
                          <w:pStyle w:val="3"/>
                          <w:jc w:val="cente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PAGE   \* MERGEFORMAT</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lang w:val="zh-CN"/>
                          </w:rPr>
                          <w:t>2</w:t>
                        </w:r>
                        <w:r>
                          <w:rPr>
                            <w:rFonts w:hint="eastAsia" w:asciiTheme="majorEastAsia" w:hAnsiTheme="majorEastAsia" w:eastAsiaTheme="majorEastAsia" w:cstheme="majorEastAsia"/>
                            <w:sz w:val="28"/>
                            <w:szCs w:val="28"/>
                          </w:rPr>
                          <w:fldChar w:fldCharType="end"/>
                        </w:r>
                      </w:p>
                    </w:sdtContent>
                  </w:sdt>
                  <w:p/>
                </w:txbxContent>
              </v:textbox>
            </v:shape>
          </w:pict>
        </mc:Fallback>
      </mc:AlternateContent>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0981"/>
    <w:rsid w:val="00012328"/>
    <w:rsid w:val="00012D83"/>
    <w:rsid w:val="00023A1B"/>
    <w:rsid w:val="000309D0"/>
    <w:rsid w:val="000409F2"/>
    <w:rsid w:val="000444A6"/>
    <w:rsid w:val="00046249"/>
    <w:rsid w:val="00051FAF"/>
    <w:rsid w:val="000526EE"/>
    <w:rsid w:val="00062E4F"/>
    <w:rsid w:val="00070E33"/>
    <w:rsid w:val="0008185A"/>
    <w:rsid w:val="00082CBF"/>
    <w:rsid w:val="000E65BD"/>
    <w:rsid w:val="00121E72"/>
    <w:rsid w:val="00144E96"/>
    <w:rsid w:val="00183CE0"/>
    <w:rsid w:val="0019279B"/>
    <w:rsid w:val="0019392A"/>
    <w:rsid w:val="00194280"/>
    <w:rsid w:val="001C69A0"/>
    <w:rsid w:val="001D3C7B"/>
    <w:rsid w:val="001D4330"/>
    <w:rsid w:val="001E117C"/>
    <w:rsid w:val="00201C14"/>
    <w:rsid w:val="002031DE"/>
    <w:rsid w:val="00210D4A"/>
    <w:rsid w:val="00232FB1"/>
    <w:rsid w:val="00242A97"/>
    <w:rsid w:val="00255523"/>
    <w:rsid w:val="00256CB4"/>
    <w:rsid w:val="002A6A0A"/>
    <w:rsid w:val="002C2690"/>
    <w:rsid w:val="002C7C88"/>
    <w:rsid w:val="002F4C27"/>
    <w:rsid w:val="0030470C"/>
    <w:rsid w:val="0032738D"/>
    <w:rsid w:val="00343372"/>
    <w:rsid w:val="00351482"/>
    <w:rsid w:val="00354AA7"/>
    <w:rsid w:val="00361BAF"/>
    <w:rsid w:val="003842C2"/>
    <w:rsid w:val="003A16A4"/>
    <w:rsid w:val="003B4DDE"/>
    <w:rsid w:val="003B61C4"/>
    <w:rsid w:val="003C0134"/>
    <w:rsid w:val="003C5480"/>
    <w:rsid w:val="003D0EE0"/>
    <w:rsid w:val="003D67EA"/>
    <w:rsid w:val="003E387E"/>
    <w:rsid w:val="003F580C"/>
    <w:rsid w:val="003F659E"/>
    <w:rsid w:val="00417B36"/>
    <w:rsid w:val="00421B26"/>
    <w:rsid w:val="0043770F"/>
    <w:rsid w:val="004433AB"/>
    <w:rsid w:val="00443A0D"/>
    <w:rsid w:val="00452D58"/>
    <w:rsid w:val="0048196D"/>
    <w:rsid w:val="00492388"/>
    <w:rsid w:val="004A229B"/>
    <w:rsid w:val="004A6474"/>
    <w:rsid w:val="004A6EAC"/>
    <w:rsid w:val="004B3902"/>
    <w:rsid w:val="004D4801"/>
    <w:rsid w:val="004E4362"/>
    <w:rsid w:val="004F1B91"/>
    <w:rsid w:val="00572ADE"/>
    <w:rsid w:val="00581388"/>
    <w:rsid w:val="005B6479"/>
    <w:rsid w:val="006148AC"/>
    <w:rsid w:val="00647D24"/>
    <w:rsid w:val="0067330C"/>
    <w:rsid w:val="00676ABE"/>
    <w:rsid w:val="006A3B2B"/>
    <w:rsid w:val="006B1887"/>
    <w:rsid w:val="006B58DA"/>
    <w:rsid w:val="006B72F9"/>
    <w:rsid w:val="006C1324"/>
    <w:rsid w:val="006C4DB9"/>
    <w:rsid w:val="006E3491"/>
    <w:rsid w:val="006F65EB"/>
    <w:rsid w:val="006F6E06"/>
    <w:rsid w:val="00730981"/>
    <w:rsid w:val="00740B75"/>
    <w:rsid w:val="007475C9"/>
    <w:rsid w:val="007655D8"/>
    <w:rsid w:val="00766F1A"/>
    <w:rsid w:val="007722A7"/>
    <w:rsid w:val="007779EA"/>
    <w:rsid w:val="007838BE"/>
    <w:rsid w:val="00785C22"/>
    <w:rsid w:val="00794106"/>
    <w:rsid w:val="007A7575"/>
    <w:rsid w:val="007C3CFB"/>
    <w:rsid w:val="007E6149"/>
    <w:rsid w:val="007F4E2A"/>
    <w:rsid w:val="00803CEA"/>
    <w:rsid w:val="008222A5"/>
    <w:rsid w:val="00823B6B"/>
    <w:rsid w:val="0083289C"/>
    <w:rsid w:val="00836A2B"/>
    <w:rsid w:val="008419FF"/>
    <w:rsid w:val="00872799"/>
    <w:rsid w:val="008774DE"/>
    <w:rsid w:val="00895441"/>
    <w:rsid w:val="008C6DBE"/>
    <w:rsid w:val="008E3634"/>
    <w:rsid w:val="00910E6D"/>
    <w:rsid w:val="00914D0D"/>
    <w:rsid w:val="00922901"/>
    <w:rsid w:val="009424E4"/>
    <w:rsid w:val="00944107"/>
    <w:rsid w:val="0097479E"/>
    <w:rsid w:val="009953C7"/>
    <w:rsid w:val="009B31B4"/>
    <w:rsid w:val="009B6056"/>
    <w:rsid w:val="009B789B"/>
    <w:rsid w:val="009E2B33"/>
    <w:rsid w:val="009E59F7"/>
    <w:rsid w:val="00A13050"/>
    <w:rsid w:val="00A32825"/>
    <w:rsid w:val="00A34F0B"/>
    <w:rsid w:val="00A42EF8"/>
    <w:rsid w:val="00A74C27"/>
    <w:rsid w:val="00A75FFC"/>
    <w:rsid w:val="00A77023"/>
    <w:rsid w:val="00A87D44"/>
    <w:rsid w:val="00A95264"/>
    <w:rsid w:val="00A96F92"/>
    <w:rsid w:val="00A97864"/>
    <w:rsid w:val="00AB2812"/>
    <w:rsid w:val="00AB3BCC"/>
    <w:rsid w:val="00AC463E"/>
    <w:rsid w:val="00AC5D8D"/>
    <w:rsid w:val="00AD7196"/>
    <w:rsid w:val="00AD723B"/>
    <w:rsid w:val="00AE0E8D"/>
    <w:rsid w:val="00AF6A0A"/>
    <w:rsid w:val="00B00D9A"/>
    <w:rsid w:val="00B028A4"/>
    <w:rsid w:val="00B30B28"/>
    <w:rsid w:val="00B317B4"/>
    <w:rsid w:val="00B407D8"/>
    <w:rsid w:val="00B50B6A"/>
    <w:rsid w:val="00B64DF5"/>
    <w:rsid w:val="00B67FD3"/>
    <w:rsid w:val="00B70CBE"/>
    <w:rsid w:val="00B743F0"/>
    <w:rsid w:val="00B764FD"/>
    <w:rsid w:val="00B7756D"/>
    <w:rsid w:val="00B77825"/>
    <w:rsid w:val="00B80D67"/>
    <w:rsid w:val="00B9613C"/>
    <w:rsid w:val="00B9781D"/>
    <w:rsid w:val="00BC3FA0"/>
    <w:rsid w:val="00BC4D11"/>
    <w:rsid w:val="00BD098D"/>
    <w:rsid w:val="00BD1519"/>
    <w:rsid w:val="00BF28AA"/>
    <w:rsid w:val="00C038C5"/>
    <w:rsid w:val="00C05051"/>
    <w:rsid w:val="00C22653"/>
    <w:rsid w:val="00C27DBD"/>
    <w:rsid w:val="00C65797"/>
    <w:rsid w:val="00C73CC2"/>
    <w:rsid w:val="00C75554"/>
    <w:rsid w:val="00CA0F8F"/>
    <w:rsid w:val="00CA721D"/>
    <w:rsid w:val="00CB21C7"/>
    <w:rsid w:val="00CB4AA3"/>
    <w:rsid w:val="00CD04DD"/>
    <w:rsid w:val="00CD48B7"/>
    <w:rsid w:val="00CE7D4B"/>
    <w:rsid w:val="00D00EC5"/>
    <w:rsid w:val="00D21E9E"/>
    <w:rsid w:val="00D325D2"/>
    <w:rsid w:val="00D356A4"/>
    <w:rsid w:val="00DA56BE"/>
    <w:rsid w:val="00DD74F8"/>
    <w:rsid w:val="00E05499"/>
    <w:rsid w:val="00E80A66"/>
    <w:rsid w:val="00EA425E"/>
    <w:rsid w:val="00EB2BB6"/>
    <w:rsid w:val="00EB2DA0"/>
    <w:rsid w:val="00EC4A7F"/>
    <w:rsid w:val="00ED5C4B"/>
    <w:rsid w:val="00F0183A"/>
    <w:rsid w:val="00F066F2"/>
    <w:rsid w:val="00F16CEE"/>
    <w:rsid w:val="00F17154"/>
    <w:rsid w:val="00F270BD"/>
    <w:rsid w:val="00F4499B"/>
    <w:rsid w:val="00F7502E"/>
    <w:rsid w:val="00FC768C"/>
    <w:rsid w:val="00FF44CE"/>
    <w:rsid w:val="07340EAE"/>
    <w:rsid w:val="0D2022DC"/>
    <w:rsid w:val="1EAF306F"/>
    <w:rsid w:val="1F4610D9"/>
    <w:rsid w:val="242503B8"/>
    <w:rsid w:val="271F38C3"/>
    <w:rsid w:val="2BCF6B31"/>
    <w:rsid w:val="2DA3311E"/>
    <w:rsid w:val="311F146F"/>
    <w:rsid w:val="329C3E73"/>
    <w:rsid w:val="3ED35597"/>
    <w:rsid w:val="45674B34"/>
    <w:rsid w:val="481D74EE"/>
    <w:rsid w:val="54ED474C"/>
    <w:rsid w:val="583926E1"/>
    <w:rsid w:val="59F72539"/>
    <w:rsid w:val="60991FE5"/>
    <w:rsid w:val="724B5A47"/>
    <w:rsid w:val="76975F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paragraph" w:styleId="9">
    <w:name w:val="List Paragraph"/>
    <w:basedOn w:val="1"/>
    <w:qFormat/>
    <w:uiPriority w:val="34"/>
    <w:pPr>
      <w:ind w:firstLine="420" w:firstLineChars="200"/>
    </w:pPr>
  </w:style>
  <w:style w:type="character" w:customStyle="1" w:styleId="10">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DC0D39F-FA20-4B2A-8684-C6816AB2A42A}">
  <ds:schemaRefs/>
</ds:datastoreItem>
</file>

<file path=docProps/app.xml><?xml version="1.0" encoding="utf-8"?>
<Properties xmlns="http://schemas.openxmlformats.org/officeDocument/2006/extended-properties" xmlns:vt="http://schemas.openxmlformats.org/officeDocument/2006/docPropsVTypes">
  <Template>Normal</Template>
  <Pages>19</Pages>
  <Words>10502</Words>
  <Characters>10723</Characters>
  <Lines>76</Lines>
  <Paragraphs>21</Paragraphs>
  <TotalTime>28</TotalTime>
  <ScaleCrop>false</ScaleCrop>
  <LinksUpToDate>false</LinksUpToDate>
  <CharactersWithSpaces>10961</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2021-06-26T01:21:00Z</dcterms:created>
  <dc:creator>dell</dc:creator>
  <cp:lastModifiedBy>A000风雪</cp:lastModifiedBy>
  <cp:lastPrinted>2021-08-11T07:42:00Z</cp:lastPrinted>
  <dcterms:modified xsi:type="dcterms:W3CDTF">2021-08-11T08:24:51Z</dcterms:modified>
  <cp:revision>131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58C692FE902949B3BB46CC8340F577AF</vt:lpwstr>
  </property>
</Properties>
</file>